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F6124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可建立病理诊断及技术交流学习平台</w:t>
      </w:r>
    </w:p>
    <w:p w14:paraId="10710669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优化病理科的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质量控制</w:t>
      </w:r>
    </w:p>
    <w:p w14:paraId="39AAE97C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需提供远程病理会诊的高清数字扫描仪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用于扫描病理数字切片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918155"/>
    <w:multiLevelType w:val="singleLevel"/>
    <w:tmpl w:val="0E9181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D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2026-03-13T11:35:36Z</dcterms:created>
  <dc:creator>HP</dc:creator>
  <cp:lastModifiedBy>李心月</cp:lastModifiedBy>
  <dcterms:modified xsi:type="dcterms:W3CDTF">2026-03-13T11:39:44Z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eyJoZGlkIjoiOTZjNDljMjU1NGFiZTA5YTZhYmExYTJkNjdkNmJjZDgiLCJ1c2VySWQiOiIyNzkxNjA4MTIifQ==</vt:lpwstr>
  </property>
  <property fmtid="{D5CDD505-2E9C-101B-9397-08002B2CF9AE}" pid="4" name="ICV">
    <vt:lpwstr>EB803D685E1E4ED49AC1E566BDFF887D_12</vt:lpwstr>
  </property>
</Properties>
</file>