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08"/>
        <w:gridCol w:w="2642"/>
        <w:gridCol w:w="1215"/>
        <w:gridCol w:w="641"/>
        <w:gridCol w:w="721"/>
        <w:gridCol w:w="476"/>
        <w:gridCol w:w="579"/>
        <w:gridCol w:w="578"/>
        <w:gridCol w:w="621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冰箱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1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1.总容积(L)：≥186；尺寸≤宽550*深600*高1550(mm)</w:t>
            </w:r>
          </w:p>
          <w:p w14:paraId="1B789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2.能效等级≥三级；</w:t>
            </w:r>
          </w:p>
          <w:p w14:paraId="357F60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3.冷冻能力kg/12h≥1.5；</w:t>
            </w:r>
          </w:p>
          <w:p w14:paraId="073157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4.噪音值[dB(A)]≤39；</w:t>
            </w:r>
          </w:p>
          <w:p w14:paraId="5B0E7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5.制冷方式：直冷或风冷；</w:t>
            </w:r>
          </w:p>
          <w:p w14:paraId="2D77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6.控温方式：机械控温或电子控温；</w:t>
            </w:r>
          </w:p>
          <w:p w14:paraId="35D88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7.门款式：至少两门，单方向开门；</w:t>
            </w:r>
          </w:p>
          <w:p w14:paraId="03751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adjustRightInd/>
              <w:snapToGrid/>
              <w:spacing w:before="0" w:after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8.具备净味功能；</w:t>
            </w:r>
          </w:p>
          <w:p w14:paraId="50E0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102"/>
                <w:kern w:val="0"/>
                <w:sz w:val="22"/>
                <w:szCs w:val="22"/>
                <w:vertAlign w:val="baseline"/>
                <w:lang w:val="en-US" w:eastAsia="zh-CN"/>
              </w:rPr>
              <w:t>9.通过国家强制性产品认证并提供CCC认证证书；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安装、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关税等为高质量完成本项目所需投入的一切费用，采购人不再另行支付其他费用。</w:t>
            </w:r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62701BA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0E74694D"/>
    <w:rsid w:val="10113C1E"/>
    <w:rsid w:val="1DE35954"/>
    <w:rsid w:val="292C1715"/>
    <w:rsid w:val="2DD36690"/>
    <w:rsid w:val="2FC11466"/>
    <w:rsid w:val="4B9F7EDB"/>
    <w:rsid w:val="53D71C20"/>
    <w:rsid w:val="5433414A"/>
    <w:rsid w:val="563673F2"/>
    <w:rsid w:val="566D2594"/>
    <w:rsid w:val="5B537862"/>
    <w:rsid w:val="5BE508A9"/>
    <w:rsid w:val="64401836"/>
    <w:rsid w:val="66901948"/>
    <w:rsid w:val="6B7152A1"/>
    <w:rsid w:val="6C7175D5"/>
    <w:rsid w:val="6F4F71B6"/>
    <w:rsid w:val="70EF502E"/>
    <w:rsid w:val="74D501AD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817</Characters>
  <Lines>0</Lines>
  <Paragraphs>0</Paragraphs>
  <TotalTime>0</TotalTime>
  <ScaleCrop>false</ScaleCrop>
  <LinksUpToDate>false</LinksUpToDate>
  <CharactersWithSpaces>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2026-02-03T01:21:13Z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