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firstLine="400" w:firstLineChars="200"/>
        <w:rPr>
          <w:rFonts w:hint="eastAsia" w:ascii="宋体" w:hAnsi="宋体" w:eastAsia="宋体" w:cs="宋体"/>
          <w:spacing w:val="-20"/>
          <w:kern w:val="8"/>
          <w:sz w:val="24"/>
          <w:szCs w:val="24"/>
        </w:rPr>
      </w:pPr>
      <w:bookmarkStart w:id="0" w:name="_Hlt101843627"/>
      <w:bookmarkEnd w:id="0"/>
      <w:bookmarkStart w:id="1" w:name="_Hlt101233737"/>
      <w:bookmarkEnd w:id="1"/>
      <w:r>
        <w:rPr>
          <w:rFonts w:hint="eastAsia" w:ascii="宋体" w:hAnsi="宋体" w:eastAsia="宋体" w:cs="宋体"/>
          <w:spacing w:val="-20"/>
          <w:kern w:val="8"/>
          <w:sz w:val="24"/>
          <w:szCs w:val="24"/>
        </w:rPr>
        <w:t>★</w:t>
      </w:r>
      <w:r>
        <w:rPr>
          <w:rFonts w:hint="eastAsia" w:ascii="黑体" w:hAnsi="黑体" w:eastAsia="黑体" w:cs="黑体"/>
          <w:color w:val="000000"/>
          <w:spacing w:val="-20"/>
          <w:kern w:val="8"/>
          <w:sz w:val="24"/>
          <w:szCs w:val="24"/>
          <w:lang w:val="en-US" w:eastAsia="zh-CN"/>
        </w:rPr>
        <w:t>服务要求</w:t>
      </w:r>
    </w:p>
    <w:p>
      <w:pPr>
        <w:pStyle w:val="6"/>
        <w:pageBreakBefore w:val="0"/>
        <w:kinsoku/>
        <w:overflowPunct/>
        <w:topLinePunct w:val="0"/>
        <w:autoSpaceDE/>
        <w:autoSpaceDN/>
        <w:bidi w:val="0"/>
        <w:adjustRightInd/>
        <w:snapToGrid/>
        <w:spacing w:line="400" w:lineRule="exact"/>
        <w:ind w:firstLine="400" w:firstLineChars="20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1.维保范围：本项目范围内的设备整机全保（其他与周边仪器相关的不可维修的设备（如电缆线、水瓶、键盘、脚踏等）和耗品（如清洗用具、清洗刷、防水盖、吸引按钮、送水/送气按钮、管道开口阀、附送水管、吸引清洗接头、口垫、治疗附件、光源灯泡等）不属于维修范围），如果在自然损耗以及正常的清洗、消毒和使用的情况下发生故障,供应商必须无条件免费维修并更换全新原厂配件。</w:t>
      </w:r>
    </w:p>
    <w:p>
      <w:pPr>
        <w:pStyle w:val="6"/>
        <w:pageBreakBefore w:val="0"/>
        <w:kinsoku/>
        <w:overflowPunct/>
        <w:topLinePunct w:val="0"/>
        <w:autoSpaceDE/>
        <w:autoSpaceDN/>
        <w:bidi w:val="0"/>
        <w:adjustRightInd/>
        <w:snapToGrid/>
        <w:spacing w:line="400" w:lineRule="exact"/>
        <w:ind w:firstLine="400" w:firstLineChars="20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2.供应商派遣的维修工程师须接受过原厂维修培训，并持有原厂颁发的有效合法的修理资质证书，进场服务前须将人员资质证书影印件交由采购人备案，维修设备过程中造成不良后果的由供应商全部承担。</w:t>
      </w:r>
    </w:p>
    <w:p>
      <w:pPr>
        <w:pStyle w:val="6"/>
        <w:pageBreakBefore w:val="0"/>
        <w:kinsoku/>
        <w:overflowPunct/>
        <w:topLinePunct w:val="0"/>
        <w:autoSpaceDE/>
        <w:autoSpaceDN/>
        <w:bidi w:val="0"/>
        <w:adjustRightInd/>
        <w:snapToGrid/>
        <w:spacing w:line="400" w:lineRule="exact"/>
        <w:ind w:firstLine="400" w:firstLineChars="20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3.配件供应：供应商在国内拥有配件仓库，且所提供的配件是原厂认证合格的全新零配件。所更换的零配件为原设备零配件同一型号规格的全新零配件。</w:t>
      </w:r>
    </w:p>
    <w:p>
      <w:pPr>
        <w:pStyle w:val="6"/>
        <w:pageBreakBefore w:val="0"/>
        <w:kinsoku/>
        <w:overflowPunct/>
        <w:topLinePunct w:val="0"/>
        <w:autoSpaceDE/>
        <w:autoSpaceDN/>
        <w:bidi w:val="0"/>
        <w:adjustRightInd/>
        <w:snapToGrid/>
        <w:spacing w:line="400" w:lineRule="exact"/>
        <w:ind w:firstLine="400" w:firstLineChars="20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4.供应商保证72小时之内完成小维修，如超过72小时不能修复的需提供原厂备用镜。</w:t>
      </w:r>
    </w:p>
    <w:p>
      <w:pPr>
        <w:pStyle w:val="6"/>
        <w:pageBreakBefore w:val="0"/>
        <w:kinsoku/>
        <w:overflowPunct/>
        <w:topLinePunct w:val="0"/>
        <w:autoSpaceDE/>
        <w:autoSpaceDN/>
        <w:bidi w:val="0"/>
        <w:adjustRightInd/>
        <w:snapToGrid/>
        <w:spacing w:line="400" w:lineRule="exact"/>
        <w:ind w:firstLine="400" w:firstLineChars="20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5.供应商保证30个工作日内完成大维修，本项目范围内的设备发生故障需要大修时,供应商需保证及时提供原厂备用设备。</w:t>
      </w:r>
    </w:p>
    <w:p>
      <w:pPr>
        <w:pStyle w:val="6"/>
        <w:pageBreakBefore w:val="0"/>
        <w:kinsoku/>
        <w:overflowPunct/>
        <w:topLinePunct w:val="0"/>
        <w:autoSpaceDE/>
        <w:autoSpaceDN/>
        <w:bidi w:val="0"/>
        <w:adjustRightInd/>
        <w:snapToGrid/>
        <w:spacing w:line="400" w:lineRule="exact"/>
        <w:ind w:firstLine="400" w:firstLineChars="20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6.服务响应时间：供应商指定经厂家认证合格的特约工程师负责内镜维修和清洗保养培训工作。工作日设备发生故障,工程师保证在 6小时内电话响应，48小时内提供现场技术支持,并提供每周24小时×7天的电话支持服务。</w:t>
      </w:r>
    </w:p>
    <w:p>
      <w:pPr>
        <w:pStyle w:val="6"/>
        <w:pageBreakBefore w:val="0"/>
        <w:kinsoku/>
        <w:overflowPunct/>
        <w:topLinePunct w:val="0"/>
        <w:autoSpaceDE/>
        <w:autoSpaceDN/>
        <w:bidi w:val="0"/>
        <w:adjustRightInd/>
        <w:snapToGrid/>
        <w:spacing w:line="400" w:lineRule="exact"/>
        <w:ind w:firstLine="400" w:firstLineChars="20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7.供应商指定工程师提供每月1次巡检,每季度提交一次纸质巡检报告单，每年提交一次维保服务报告。</w:t>
      </w:r>
    </w:p>
    <w:p>
      <w:pPr>
        <w:pStyle w:val="6"/>
        <w:pageBreakBefore w:val="0"/>
        <w:kinsoku/>
        <w:overflowPunct/>
        <w:topLinePunct w:val="0"/>
        <w:autoSpaceDE/>
        <w:autoSpaceDN/>
        <w:bidi w:val="0"/>
        <w:adjustRightInd/>
        <w:snapToGrid/>
        <w:spacing w:line="400" w:lineRule="exact"/>
        <w:ind w:firstLine="400" w:firstLineChars="20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8.供应商提供每年1次的周边仪器除尘清洁服务（周边仪器是指本项目范围清单内的配套仪器）。</w:t>
      </w:r>
    </w:p>
    <w:p>
      <w:pPr>
        <w:pStyle w:val="6"/>
        <w:pageBreakBefore w:val="0"/>
        <w:kinsoku/>
        <w:overflowPunct/>
        <w:topLinePunct w:val="0"/>
        <w:autoSpaceDE/>
        <w:autoSpaceDN/>
        <w:bidi w:val="0"/>
        <w:adjustRightInd/>
        <w:snapToGrid/>
        <w:spacing w:line="400" w:lineRule="exact"/>
        <w:ind w:firstLine="400" w:firstLineChars="20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9.培训：供应商根据采购人需求,对本项目设备的使用、清洗和保养方法提供院内培训。</w:t>
      </w:r>
    </w:p>
    <w:p>
      <w:pPr>
        <w:pStyle w:val="6"/>
        <w:pageBreakBefore w:val="0"/>
        <w:kinsoku/>
        <w:overflowPunct/>
        <w:topLinePunct w:val="0"/>
        <w:autoSpaceDE/>
        <w:autoSpaceDN/>
        <w:bidi w:val="0"/>
        <w:adjustRightInd/>
        <w:snapToGrid/>
        <w:spacing w:line="400" w:lineRule="exact"/>
        <w:ind w:firstLine="400" w:firstLineChars="20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10.履约服务考核标准明细表：</w:t>
      </w:r>
    </w:p>
    <w:tbl>
      <w:tblPr>
        <w:tblStyle w:val="16"/>
        <w:tblW w:w="10566"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23"/>
        <w:gridCol w:w="420"/>
        <w:gridCol w:w="1522"/>
        <w:gridCol w:w="475"/>
        <w:gridCol w:w="5272"/>
        <w:gridCol w:w="832"/>
        <w:gridCol w:w="818"/>
        <w:gridCol w:w="804"/>
      </w:tblGrid>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66" w:type="dxa"/>
            <w:gridSpan w:val="8"/>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履约服务考核标准明细表</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66" w:type="dxa"/>
            <w:gridSpan w:val="8"/>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考核时间:                                      考核得分: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序号</w:t>
            </w:r>
          </w:p>
        </w:tc>
        <w:tc>
          <w:tcPr>
            <w:tcW w:w="420"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类别</w:t>
            </w:r>
          </w:p>
        </w:tc>
        <w:tc>
          <w:tcPr>
            <w:tcW w:w="1522"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考核细则</w:t>
            </w:r>
          </w:p>
        </w:tc>
        <w:tc>
          <w:tcPr>
            <w:tcW w:w="475"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分值</w:t>
            </w:r>
          </w:p>
        </w:tc>
        <w:tc>
          <w:tcPr>
            <w:tcW w:w="5272"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评分标准</w:t>
            </w:r>
          </w:p>
        </w:tc>
        <w:tc>
          <w:tcPr>
            <w:tcW w:w="832"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扣分</w:t>
            </w:r>
            <w:r>
              <w:rPr>
                <w:rFonts w:hint="eastAsia" w:ascii="宋体" w:hAnsi="宋体" w:eastAsia="宋体" w:cs="宋体"/>
                <w:spacing w:val="-20"/>
                <w:kern w:val="8"/>
                <w:sz w:val="24"/>
                <w:szCs w:val="24"/>
                <w:lang w:val="en-US" w:eastAsia="zh-CN"/>
              </w:rPr>
              <w:br w:type="textWrapping"/>
            </w:r>
            <w:r>
              <w:rPr>
                <w:rFonts w:hint="eastAsia" w:ascii="宋体" w:hAnsi="宋体" w:eastAsia="宋体" w:cs="宋体"/>
                <w:spacing w:val="-20"/>
                <w:kern w:val="8"/>
                <w:sz w:val="24"/>
                <w:szCs w:val="24"/>
                <w:lang w:val="en-US" w:eastAsia="zh-CN"/>
              </w:rPr>
              <w:t>原因</w:t>
            </w:r>
          </w:p>
        </w:tc>
        <w:tc>
          <w:tcPr>
            <w:tcW w:w="818"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扣分</w:t>
            </w:r>
          </w:p>
        </w:tc>
        <w:tc>
          <w:tcPr>
            <w:tcW w:w="804" w:type="dxa"/>
            <w:tcBorders>
              <w:top w:val="single" w:color="000000" w:sz="4" w:space="0"/>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得分</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1</w:t>
            </w:r>
          </w:p>
        </w:tc>
        <w:tc>
          <w:tcPr>
            <w:tcW w:w="420"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一票否决</w:t>
            </w:r>
          </w:p>
        </w:tc>
        <w:tc>
          <w:tcPr>
            <w:tcW w:w="152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是否发生设备漏电、造成人员伤亡等重大安全生产事故</w:t>
            </w:r>
          </w:p>
        </w:tc>
        <w:tc>
          <w:tcPr>
            <w:tcW w:w="47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527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出现任何重大安全生产事故，一票否决，本次评定为不合格，且由供应商承担相应全部责任。</w:t>
            </w:r>
          </w:p>
        </w:tc>
        <w:tc>
          <w:tcPr>
            <w:tcW w:w="8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81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804"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2</w:t>
            </w:r>
          </w:p>
        </w:tc>
        <w:tc>
          <w:tcPr>
            <w:tcW w:w="420"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维保计划与响应</w:t>
            </w:r>
          </w:p>
        </w:tc>
        <w:tc>
          <w:tcPr>
            <w:tcW w:w="152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维保计划制定</w:t>
            </w:r>
          </w:p>
        </w:tc>
        <w:tc>
          <w:tcPr>
            <w:tcW w:w="47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10</w:t>
            </w:r>
          </w:p>
        </w:tc>
        <w:tc>
          <w:tcPr>
            <w:tcW w:w="527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1、制定详细、合理且符合设备使用情况的年度维保计划，包括定期维护的时间节点、具体维护项目、预期效果等内容，得6 - 10 分。</w:t>
            </w:r>
          </w:p>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2、维保计划基本完整，但存在部分项目不明确或时间安排不够合理，得3 - 5 分。</w:t>
            </w:r>
          </w:p>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3、未提供维保计划或计划内容严重缺失、不合理，得0 - 2 分。</w:t>
            </w:r>
          </w:p>
        </w:tc>
        <w:tc>
          <w:tcPr>
            <w:tcW w:w="8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81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804"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vMerge w:val="continue"/>
            <w:tcBorders>
              <w:top w:val="nil"/>
              <w:left w:val="single" w:color="000000" w:sz="4" w:space="0"/>
              <w:bottom w:val="single" w:color="000000" w:sz="4" w:space="0"/>
              <w:right w:val="single" w:color="000000" w:sz="4" w:space="0"/>
            </w:tcBorders>
            <w:noWrap w:val="0"/>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420" w:type="dxa"/>
            <w:vMerge w:val="continue"/>
            <w:tcBorders>
              <w:top w:val="nil"/>
              <w:left w:val="single" w:color="000000" w:sz="4" w:space="0"/>
              <w:bottom w:val="single" w:color="000000" w:sz="4" w:space="0"/>
              <w:right w:val="single" w:color="000000" w:sz="4" w:space="0"/>
            </w:tcBorders>
            <w:noWrap w:val="0"/>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152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紧急维修响应时间</w:t>
            </w:r>
          </w:p>
        </w:tc>
        <w:tc>
          <w:tcPr>
            <w:tcW w:w="47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10</w:t>
            </w:r>
          </w:p>
        </w:tc>
        <w:tc>
          <w:tcPr>
            <w:tcW w:w="527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在接到设备故障报修通知后，24小时内做出响应并到达现场，每次响应及时得8 - 10 分。</w:t>
            </w:r>
          </w:p>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2、响应时间偶尔超出规定时间，但未对设备使用造成重大影响，得4 - 7 分。</w:t>
            </w:r>
          </w:p>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3、多次响应延迟，严重影响设备正常使用，得0 分。</w:t>
            </w:r>
          </w:p>
        </w:tc>
        <w:tc>
          <w:tcPr>
            <w:tcW w:w="8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81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804"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3</w:t>
            </w:r>
          </w:p>
        </w:tc>
        <w:tc>
          <w:tcPr>
            <w:tcW w:w="420"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维护工作执行</w:t>
            </w:r>
          </w:p>
        </w:tc>
        <w:tc>
          <w:tcPr>
            <w:tcW w:w="152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定期维护工作完成情况</w:t>
            </w:r>
          </w:p>
        </w:tc>
        <w:tc>
          <w:tcPr>
            <w:tcW w:w="47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15</w:t>
            </w:r>
          </w:p>
        </w:tc>
        <w:tc>
          <w:tcPr>
            <w:tcW w:w="527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1、严格按照维保计划执行定期维护任务，每次维护都有详细记录，包括维护日期、维护人员、维护项目、使用的工具和材料以及维护前后设备的性能参数对比等信息，且所有维护工作均高质量完成，如镜头清洁后图像清晰无瑕疵、机械关节活动顺畅无卡顿、电气参数稳定在正常范围等，得12 - 15 分。</w:t>
            </w:r>
          </w:p>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2、能完成大部分定期维护工作，但存在少数记录不完整或维护质量稍有欠缺的情况，例如镜头清洁不够彻底导致图像有轻微模糊，或机械部件调试后仍有轻微异响但不影响使用，得7 - 11 分。</w:t>
            </w:r>
          </w:p>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3、未能按时完成多项定期维护任务，或维护工作存在严重问题，如关键部件未进行维护、维护后设备性能明显下降甚至无法正常使用，且记录缺失或混乱，得 0 - 3 分。</w:t>
            </w:r>
          </w:p>
        </w:tc>
        <w:tc>
          <w:tcPr>
            <w:tcW w:w="8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81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804"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vMerge w:val="continue"/>
            <w:tcBorders>
              <w:top w:val="nil"/>
              <w:left w:val="single" w:color="000000" w:sz="4" w:space="0"/>
              <w:bottom w:val="single" w:color="000000" w:sz="4" w:space="0"/>
              <w:right w:val="single" w:color="000000" w:sz="4" w:space="0"/>
            </w:tcBorders>
            <w:noWrap w:val="0"/>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420" w:type="dxa"/>
            <w:vMerge w:val="continue"/>
            <w:tcBorders>
              <w:top w:val="nil"/>
              <w:left w:val="single" w:color="000000" w:sz="4" w:space="0"/>
              <w:bottom w:val="single" w:color="000000" w:sz="4" w:space="0"/>
              <w:right w:val="single" w:color="000000" w:sz="4" w:space="0"/>
            </w:tcBorders>
            <w:noWrap w:val="0"/>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152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故障维修质量</w:t>
            </w:r>
          </w:p>
        </w:tc>
        <w:tc>
          <w:tcPr>
            <w:tcW w:w="47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15</w:t>
            </w:r>
          </w:p>
        </w:tc>
        <w:tc>
          <w:tcPr>
            <w:tcW w:w="527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1、维修后设备能迅速恢复正常工作状态，图像质量、操作灵活性、电气安全性等各项性能指标均达到设备出厂标准或临床使用要求，且在 [3] 天内无相同故障再次发生，维修记录详细记录故障现象、原因分析、维修措施以及更换的零部件信息，得 12 - 15 分。</w:t>
            </w:r>
          </w:p>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2、维修后设备可正常运行，但在短期内（[5] 天内）出现一些小问题，如图像偶尔出现噪点、操作手感略有变化等，经再次调试后恢复正常，得 7 - 11 分。</w:t>
            </w:r>
          </w:p>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3、维修后设备仍频繁出现故障或故障未彻底解决，严重影响内窥镜检查或手术的顺利进行，得 0 - 3 分。</w:t>
            </w:r>
          </w:p>
        </w:tc>
        <w:tc>
          <w:tcPr>
            <w:tcW w:w="8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81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804"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4</w:t>
            </w:r>
          </w:p>
        </w:tc>
        <w:tc>
          <w:tcPr>
            <w:tcW w:w="420"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设备运行状态</w:t>
            </w:r>
          </w:p>
        </w:tc>
        <w:tc>
          <w:tcPr>
            <w:tcW w:w="152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设备开机率</w:t>
            </w:r>
          </w:p>
        </w:tc>
        <w:tc>
          <w:tcPr>
            <w:tcW w:w="47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15</w:t>
            </w:r>
          </w:p>
        </w:tc>
        <w:tc>
          <w:tcPr>
            <w:tcW w:w="527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1、考核周期内设备开机率达到 [95]% 及以上（开机率 = 设备正常运行时间 / 应运行时间 × 100%），得 12 - 15 分。</w:t>
            </w:r>
          </w:p>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2、开机率在 [90]% - [95]% 之间，得 7 - 11 分。</w:t>
            </w:r>
          </w:p>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3、开机率低于 [90]%，得 0-3 分。</w:t>
            </w:r>
          </w:p>
        </w:tc>
        <w:tc>
          <w:tcPr>
            <w:tcW w:w="8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81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804"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vMerge w:val="continue"/>
            <w:tcBorders>
              <w:top w:val="nil"/>
              <w:left w:val="single" w:color="000000" w:sz="4" w:space="0"/>
              <w:bottom w:val="single" w:color="000000" w:sz="4" w:space="0"/>
              <w:right w:val="single" w:color="000000" w:sz="4" w:space="0"/>
            </w:tcBorders>
            <w:noWrap w:val="0"/>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420" w:type="dxa"/>
            <w:vMerge w:val="continue"/>
            <w:tcBorders>
              <w:top w:val="nil"/>
              <w:left w:val="single" w:color="000000" w:sz="4" w:space="0"/>
              <w:bottom w:val="single" w:color="000000" w:sz="4" w:space="0"/>
              <w:right w:val="single" w:color="000000" w:sz="4" w:space="0"/>
            </w:tcBorders>
            <w:noWrap w:val="0"/>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152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图像质量与功能</w:t>
            </w:r>
          </w:p>
        </w:tc>
        <w:tc>
          <w:tcPr>
            <w:tcW w:w="47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15</w:t>
            </w:r>
          </w:p>
        </w:tc>
        <w:tc>
          <w:tcPr>
            <w:tcW w:w="527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1、内窥镜图像清晰、色彩还原准确、分辨率高，能够清晰显示检查部位的细微结构，照明系统亮度均匀且充足，镜头的焦距调节、放大缩小等功能正常，器械通道畅通无阻，送水送气功能稳定可靠，在整个考核周期内各项功能始终保持良好状态，得12 - 15 分。</w:t>
            </w:r>
          </w:p>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2、图像质量和功能整体较好，但偶尔会出现一些轻微问题，如图像在特定环境下对比度稍差、送气功能有短暂不稳定但很快恢复等，不影响主要的检查或手术操作，得7 - 11 分。</w:t>
            </w:r>
          </w:p>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3、图像质量严重下降，如出现严重模糊、失真或功能频繁故障，导致无法正常进行内窥镜检查或手术，得0 - 3 分。</w:t>
            </w:r>
          </w:p>
        </w:tc>
        <w:tc>
          <w:tcPr>
            <w:tcW w:w="8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81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804"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5</w:t>
            </w:r>
          </w:p>
        </w:tc>
        <w:tc>
          <w:tcPr>
            <w:tcW w:w="420"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配件管理</w:t>
            </w:r>
          </w:p>
        </w:tc>
        <w:tc>
          <w:tcPr>
            <w:tcW w:w="152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配件供应及时性</w:t>
            </w:r>
          </w:p>
        </w:tc>
        <w:tc>
          <w:tcPr>
            <w:tcW w:w="47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10</w:t>
            </w:r>
          </w:p>
        </w:tc>
        <w:tc>
          <w:tcPr>
            <w:tcW w:w="527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1、所需原装全新配件能在48小时供应到位，保证设备维修顺利进行，得 8 - 10 分。</w:t>
            </w:r>
          </w:p>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2、配件供应偶尔延迟，但未造成长时间设备停机，得3 - 7 分。</w:t>
            </w:r>
          </w:p>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3、经常因配件供应问题导致设备维修延误，得 0 分。</w:t>
            </w:r>
          </w:p>
        </w:tc>
        <w:tc>
          <w:tcPr>
            <w:tcW w:w="8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81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804"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23"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6</w:t>
            </w:r>
          </w:p>
        </w:tc>
        <w:tc>
          <w:tcPr>
            <w:tcW w:w="420" w:type="dxa"/>
            <w:vMerge w:val="restart"/>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服务态度</w:t>
            </w:r>
          </w:p>
        </w:tc>
        <w:tc>
          <w:tcPr>
            <w:tcW w:w="152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服务态度</w:t>
            </w:r>
          </w:p>
        </w:tc>
        <w:tc>
          <w:tcPr>
            <w:tcW w:w="47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5</w:t>
            </w:r>
          </w:p>
        </w:tc>
        <w:tc>
          <w:tcPr>
            <w:tcW w:w="527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1、维保人员在工作过程中态度热情、专业、耐心，积极配合科室工作安排，得4 - 5 分。</w:t>
            </w:r>
          </w:p>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2、服务态度一般，无明显不良行为，得2 - 3 分。</w:t>
            </w:r>
          </w:p>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3、服务态度差，与科室人员发生冲突，得 0 分。</w:t>
            </w:r>
          </w:p>
        </w:tc>
        <w:tc>
          <w:tcPr>
            <w:tcW w:w="8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81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804"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23" w:type="dxa"/>
            <w:vMerge w:val="continue"/>
            <w:tcBorders>
              <w:top w:val="nil"/>
              <w:left w:val="single" w:color="000000" w:sz="4" w:space="0"/>
              <w:bottom w:val="single" w:color="000000" w:sz="4" w:space="0"/>
              <w:right w:val="single" w:color="000000" w:sz="4" w:space="0"/>
            </w:tcBorders>
            <w:noWrap w:val="0"/>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420" w:type="dxa"/>
            <w:vMerge w:val="continue"/>
            <w:tcBorders>
              <w:top w:val="nil"/>
              <w:left w:val="single" w:color="000000" w:sz="4" w:space="0"/>
              <w:bottom w:val="single" w:color="000000" w:sz="4" w:space="0"/>
              <w:right w:val="single" w:color="000000" w:sz="4" w:space="0"/>
            </w:tcBorders>
            <w:noWrap w:val="0"/>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152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沟通反馈</w:t>
            </w:r>
          </w:p>
        </w:tc>
        <w:tc>
          <w:tcPr>
            <w:tcW w:w="475"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5</w:t>
            </w:r>
          </w:p>
        </w:tc>
        <w:tc>
          <w:tcPr>
            <w:tcW w:w="527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1、定期与科室负责人及设备操作人员进行沟通，及时反馈设备维护情况、潜在问题及解决方案，得 4 - 5 分。</w:t>
            </w:r>
          </w:p>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2、沟通较少，但在重要事项上能及时沟通，得 2 - 3 分。</w:t>
            </w:r>
          </w:p>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3、缺乏主动沟通，信息传递不及时，影响设备管理与使用，得 0 分。</w:t>
            </w:r>
          </w:p>
        </w:tc>
        <w:tc>
          <w:tcPr>
            <w:tcW w:w="832"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818"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c>
          <w:tcPr>
            <w:tcW w:w="804" w:type="dxa"/>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bottom"/>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66" w:type="dxa"/>
            <w:gridSpan w:val="8"/>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备注：（1）服务期内由使用科室每年进行考核，满分 100 分， 得分 90 分及以上为合格，得分 80-89 分为整改，并扣除当年2%的维保费用，得分＜80分为不合格，并扣除当年10%的维保费用。如一年内有两次整改或考核不合格，采购人有权终止合同。</w:t>
            </w:r>
          </w:p>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（2）一票否决为考核直接不合格。</w:t>
            </w:r>
          </w:p>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（3）考核中所扣分数对应评分标准，扣完对应项目总分后不再累加。</w:t>
            </w:r>
          </w:p>
        </w:tc>
      </w:tr>
      <w:tr>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566" w:type="dxa"/>
            <w:gridSpan w:val="8"/>
            <w:tcBorders>
              <w:top w:val="nil"/>
              <w:left w:val="single" w:color="000000" w:sz="4" w:space="0"/>
              <w:bottom w:val="single" w:color="000000" w:sz="4" w:space="0"/>
              <w:right w:val="single" w:color="000000" w:sz="4" w:space="0"/>
            </w:tcBorders>
            <w:noWrap w:val="0"/>
            <w:tcMar>
              <w:top w:w="0" w:type="dxa"/>
              <w:left w:w="105" w:type="dxa"/>
              <w:bottom w:w="0" w:type="dxa"/>
              <w:right w:w="105" w:type="dxa"/>
            </w:tcMar>
            <w:vAlign w:val="top"/>
          </w:tcPr>
          <w:p>
            <w:pPr>
              <w:pStyle w:val="6"/>
              <w:pageBreakBefore w:val="0"/>
              <w:kinsoku/>
              <w:overflowPunct/>
              <w:topLinePunct w:val="0"/>
              <w:autoSpaceDE/>
              <w:autoSpaceDN/>
              <w:bidi w:val="0"/>
              <w:adjustRightInd/>
              <w:snapToGrid/>
              <w:spacing w:line="400" w:lineRule="exact"/>
              <w:ind w:firstLine="0" w:firstLineChars="0"/>
              <w:rPr>
                <w:rFonts w:hint="eastAsia" w:ascii="宋体" w:hAnsi="宋体" w:eastAsia="宋体" w:cs="宋体"/>
                <w:spacing w:val="-20"/>
                <w:kern w:val="8"/>
                <w:sz w:val="24"/>
                <w:szCs w:val="24"/>
                <w:lang w:val="en-US" w:eastAsia="zh-CN"/>
              </w:rPr>
            </w:pPr>
            <w:r>
              <w:rPr>
                <w:rFonts w:hint="eastAsia" w:ascii="宋体" w:hAnsi="宋体" w:eastAsia="宋体" w:cs="宋体"/>
                <w:spacing w:val="-20"/>
                <w:kern w:val="8"/>
                <w:sz w:val="24"/>
                <w:szCs w:val="24"/>
                <w:lang w:val="en-US" w:eastAsia="zh-CN"/>
              </w:rPr>
              <w:t>医院考核人员（采购人）：                              设备维保中标方人员（供应商）：</w:t>
            </w:r>
          </w:p>
        </w:tc>
      </w:tr>
    </w:tbl>
    <w:p>
      <w:pPr>
        <w:numPr>
          <w:ilvl w:val="0"/>
          <w:numId w:val="0"/>
        </w:numPr>
        <w:spacing w:line="400" w:lineRule="exact"/>
        <w:ind w:right="440" w:rightChars="200" w:firstLine="400" w:firstLineChars="200"/>
        <w:rPr>
          <w:rFonts w:hint="eastAsia" w:ascii="宋体" w:hAnsi="宋体" w:eastAsia="宋体" w:cs="宋体"/>
          <w:color w:val="000000"/>
          <w:spacing w:val="-20"/>
          <w:kern w:val="8"/>
          <w:sz w:val="24"/>
          <w:szCs w:val="24"/>
          <w:lang w:val="en-US"/>
        </w:rPr>
      </w:pPr>
      <w:r>
        <w:rPr>
          <w:rFonts w:hint="eastAsia" w:ascii="宋体" w:hAnsi="宋体" w:eastAsia="宋体" w:cs="宋体"/>
          <w:spacing w:val="-20"/>
          <w:kern w:val="8"/>
          <w:sz w:val="24"/>
          <w:szCs w:val="24"/>
          <w:lang w:val="en-US" w:eastAsia="zh-CN" w:bidi="zh-CN"/>
        </w:rPr>
        <w:t>以上带“</w:t>
      </w:r>
      <w:r>
        <w:rPr>
          <w:rFonts w:hint="eastAsia" w:ascii="宋体" w:hAnsi="宋体" w:eastAsia="宋体" w:cs="宋体"/>
          <w:spacing w:val="-20"/>
          <w:kern w:val="8"/>
          <w:sz w:val="24"/>
          <w:szCs w:val="24"/>
          <w:lang w:val="zh-CN" w:eastAsia="zh-CN" w:bidi="zh-CN"/>
        </w:rPr>
        <w:t>★</w:t>
      </w:r>
      <w:r>
        <w:rPr>
          <w:rFonts w:hint="eastAsia" w:ascii="宋体" w:hAnsi="宋体" w:eastAsia="宋体" w:cs="宋体"/>
          <w:spacing w:val="-20"/>
          <w:kern w:val="8"/>
          <w:sz w:val="24"/>
          <w:szCs w:val="24"/>
          <w:lang w:val="en-US" w:eastAsia="zh-CN" w:bidi="zh-CN"/>
        </w:rPr>
        <w:t xml:space="preserve">”项为实质性要求，必须全部满足，负偏离视为无效响应文件。  </w:t>
      </w:r>
      <w:r>
        <w:rPr>
          <w:rFonts w:hint="eastAsia" w:ascii="宋体" w:hAnsi="宋体" w:eastAsia="宋体" w:cs="宋体"/>
          <w:color w:val="000000"/>
          <w:spacing w:val="-20"/>
          <w:kern w:val="8"/>
          <w:sz w:val="24"/>
          <w:szCs w:val="24"/>
          <w:lang w:val="en-US"/>
        </w:rPr>
        <w:t xml:space="preserve">                           </w:t>
      </w:r>
    </w:p>
    <w:p>
      <w:pPr>
        <w:keepNext w:val="0"/>
        <w:keepLines w:val="0"/>
        <w:pageBreakBefore w:val="0"/>
        <w:widowControl w:val="0"/>
        <w:numPr>
          <w:ilvl w:val="0"/>
          <w:numId w:val="0"/>
        </w:numPr>
        <w:kinsoku/>
        <w:wordWrap/>
        <w:overflowPunct/>
        <w:topLinePunct w:val="0"/>
        <w:autoSpaceDE w:val="0"/>
        <w:autoSpaceDN w:val="0"/>
        <w:bidi w:val="0"/>
        <w:adjustRightInd/>
        <w:snapToGrid/>
        <w:spacing w:line="240" w:lineRule="auto"/>
        <w:ind w:left="442" w:leftChars="0" w:right="440" w:rightChars="200"/>
        <w:textAlignment w:val="auto"/>
        <w:rPr>
          <w:lang w:val="en-US"/>
        </w:rPr>
      </w:pPr>
      <w:bookmarkStart w:id="2" w:name="_Toc8182"/>
      <w:bookmarkStart w:id="3" w:name="_Toc217446083"/>
      <w:r>
        <w:rPr>
          <w:rFonts w:hint="eastAsia"/>
          <w:color w:val="000000"/>
          <w:spacing w:val="-20"/>
          <w:kern w:val="8"/>
          <w:sz w:val="24"/>
          <w:szCs w:val="24"/>
          <w:lang w:val="en-US"/>
        </w:rPr>
        <w:t xml:space="preserve">                            </w:t>
      </w:r>
      <w:bookmarkEnd w:id="2"/>
      <w:bookmarkEnd w:id="3"/>
      <w:bookmarkStart w:id="4" w:name="_GoBack"/>
      <w:bookmarkEnd w:id="4"/>
    </w:p>
    <w:sectPr>
      <w:headerReference r:id="rId3" w:type="default"/>
      <w:footerReference r:id="rId4" w:type="default"/>
      <w:pgSz w:w="11910" w:h="16840"/>
      <w:pgMar w:top="1660" w:right="580" w:bottom="1160" w:left="860" w:header="871" w:footer="94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000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mc:AlternateContent>
        <mc:Choice Requires="wps">
          <w:drawing>
            <wp:anchor distT="0" distB="0" distL="0" distR="0" simplePos="0" relativeHeight="251659264" behindDoc="1" locked="0" layoutInCell="1" allowOverlap="1">
              <wp:simplePos x="0" y="0"/>
              <wp:positionH relativeFrom="page">
                <wp:posOffset>3566795</wp:posOffset>
              </wp:positionH>
              <wp:positionV relativeFrom="page">
                <wp:posOffset>9930130</wp:posOffset>
              </wp:positionV>
              <wp:extent cx="426720" cy="152400"/>
              <wp:effectExtent l="0" t="0" r="0" b="0"/>
              <wp:wrapNone/>
              <wp:docPr id="4103" name="4103"/>
              <wp:cNvGraphicFramePr/>
              <a:graphic xmlns:a="http://schemas.openxmlformats.org/drawingml/2006/main">
                <a:graphicData uri="http://schemas.microsoft.com/office/word/2010/wordprocessingShape">
                  <wps:wsp>
                    <wps:cNvSpPr/>
                    <wps:spPr>
                      <a:xfrm>
                        <a:off x="0" y="0"/>
                        <a:ext cx="426720" cy="152400"/>
                      </a:xfrm>
                      <a:prstGeom prst="rect">
                        <a:avLst/>
                      </a:prstGeom>
                      <a:ln>
                        <a:noFill/>
                      </a:ln>
                    </wps:spPr>
                    <wps:txbx>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wps:txbx>
                    <wps:bodyPr lIns="0" tIns="0" rIns="0" bIns="0" upright="1"/>
                  </wps:wsp>
                </a:graphicData>
              </a:graphic>
            </wp:anchor>
          </w:drawing>
        </mc:Choice>
        <mc:Fallback>
          <w:pict>
            <v:rect id="4103" o:spid="_x0000_s1026" o:spt="1" style="position:absolute;left:0pt;margin-left:280.85pt;margin-top:781.9pt;height:12pt;width:33.6pt;mso-position-horizontal-relative:page;mso-position-vertical-relative:page;z-index:-251657216;mso-width-relative:page;mso-height-relative:page;" filled="f" stroked="f" coordsize="21600,21600" o:gfxdata="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BOlSH/3AAAAA0BAAAPAAAA&#10;AAAAAAEAIAAAACIAAABkcnMvZG93bnJldi54bWxQSwECFAAUAAAACACHTuJAGsk3d58BAABYAwAA&#10;DgAAAAAAAAABACAAAAArAQAAZHJzL2Uyb0RvYy54bWxQSwUGAAAAAAYABgBZAQAAPAUAAAAA&#10;">
              <v:fill on="f" focussize="0,0"/>
              <v:stroke on="f"/>
              <v:imagedata o:title=""/>
              <o:lock v:ext="edit" aspectratio="f"/>
              <v:textbox inset="0mm,0mm,0mm,0mm">
                <w:txbxContent>
                  <w:p>
                    <w:pPr>
                      <w:spacing w:before="3"/>
                      <w:ind w:left="20"/>
                      <w:rPr>
                        <w:rFonts w:ascii="宋体" w:eastAsia="宋体"/>
                        <w:sz w:val="18"/>
                      </w:rPr>
                    </w:pPr>
                    <w:r>
                      <w:rPr>
                        <w:rFonts w:hint="eastAsia" w:ascii="宋体" w:eastAsia="宋体"/>
                        <w:sz w:val="18"/>
                      </w:rPr>
                      <w:t xml:space="preserve">第 </w:t>
                    </w:r>
                    <w:r>
                      <w:fldChar w:fldCharType="begin"/>
                    </w:r>
                    <w:r>
                      <w:rPr>
                        <w:rFonts w:ascii="Times New Roman" w:eastAsia="Times New Roman"/>
                        <w:sz w:val="18"/>
                      </w:rPr>
                      <w:instrText xml:space="preserve"> PAGE </w:instrText>
                    </w:r>
                    <w:r>
                      <w:fldChar w:fldCharType="separate"/>
                    </w:r>
                    <w:r>
                      <w:rPr>
                        <w:rFonts w:ascii="Times New Roman" w:eastAsia="Times New Roman"/>
                        <w:sz w:val="18"/>
                      </w:rPr>
                      <w:t>9</w:t>
                    </w:r>
                    <w:r>
                      <w:fldChar w:fldCharType="end"/>
                    </w:r>
                    <w:r>
                      <w:rPr>
                        <w:rFonts w:ascii="Times New Roman" w:eastAsia="Times New Roman"/>
                        <w:sz w:val="18"/>
                      </w:rPr>
                      <w:t xml:space="preserve"> </w:t>
                    </w:r>
                    <w:r>
                      <w:rPr>
                        <w:rFonts w:hint="eastAsia" w:ascii="宋体" w:eastAsia="宋体"/>
                        <w:sz w:val="18"/>
                      </w:rPr>
                      <w:t>页</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rPr>
        <w:sz w:val="20"/>
      </w:rPr>
    </w:pPr>
    <w:r>
      <w:rPr>
        <w:lang w:val="en-US" w:bidi="ar-SA"/>
      </w:rPr>
      <w:drawing>
        <wp:anchor distT="0" distB="0" distL="0" distR="0" simplePos="0" relativeHeight="251659264" behindDoc="1" locked="0" layoutInCell="1" allowOverlap="1">
          <wp:simplePos x="0" y="0"/>
          <wp:positionH relativeFrom="page">
            <wp:posOffset>685800</wp:posOffset>
          </wp:positionH>
          <wp:positionV relativeFrom="page">
            <wp:posOffset>553085</wp:posOffset>
          </wp:positionV>
          <wp:extent cx="1823085" cy="433070"/>
          <wp:effectExtent l="0" t="0" r="5715" b="5080"/>
          <wp:wrapNone/>
          <wp:docPr id="4099" name="image1.jpeg"/>
          <wp:cNvGraphicFramePr/>
          <a:graphic xmlns:a="http://schemas.openxmlformats.org/drawingml/2006/main">
            <a:graphicData uri="http://schemas.openxmlformats.org/drawingml/2006/picture">
              <pic:pic xmlns:pic="http://schemas.openxmlformats.org/drawingml/2006/picture">
                <pic:nvPicPr>
                  <pic:cNvPr id="4099" name="image1.jpeg"/>
                  <pic:cNvPicPr/>
                </pic:nvPicPr>
                <pic:blipFill>
                  <a:blip r:embed="rId1" cstate="print"/>
                  <a:srcRect/>
                  <a:stretch>
                    <a:fillRect/>
                  </a:stretch>
                </pic:blipFill>
                <pic:spPr>
                  <a:xfrm>
                    <a:off x="0" y="0"/>
                    <a:ext cx="1823085" cy="433069"/>
                  </a:xfrm>
                  <a:prstGeom prst="rect">
                    <a:avLst/>
                  </a:prstGeom>
                </pic:spPr>
              </pic:pic>
            </a:graphicData>
          </a:graphic>
        </wp:anchor>
      </w:drawing>
    </w:r>
    <w:r>
      <w:rPr>
        <w:lang w:val="en-US" w:bidi="ar-SA"/>
      </w:rPr>
      <mc:AlternateContent>
        <mc:Choice Requires="wps">
          <w:drawing>
            <wp:anchor distT="0" distB="0" distL="0" distR="0" simplePos="0" relativeHeight="251659264" behindDoc="1" locked="0" layoutInCell="1" allowOverlap="1">
              <wp:simplePos x="0" y="0"/>
              <wp:positionH relativeFrom="page">
                <wp:posOffset>685800</wp:posOffset>
              </wp:positionH>
              <wp:positionV relativeFrom="page">
                <wp:posOffset>1057275</wp:posOffset>
              </wp:positionV>
              <wp:extent cx="6188710" cy="0"/>
              <wp:effectExtent l="0" t="4445" r="0" b="5080"/>
              <wp:wrapNone/>
              <wp:docPr id="4100" name="4100"/>
              <wp:cNvGraphicFramePr/>
              <a:graphic xmlns:a="http://schemas.openxmlformats.org/drawingml/2006/main">
                <a:graphicData uri="http://schemas.microsoft.com/office/word/2010/wordprocessingShape">
                  <wps:wsp>
                    <wps:cNvCnPr/>
                    <wps:spPr>
                      <a:xfrm>
                        <a:off x="0" y="0"/>
                        <a:ext cx="6188710" cy="0"/>
                      </a:xfrm>
                      <a:prstGeom prst="line">
                        <a:avLst/>
                      </a:prstGeom>
                      <a:ln w="6096" cap="flat" cmpd="sng">
                        <a:solidFill>
                          <a:srgbClr val="000000"/>
                        </a:solidFill>
                        <a:prstDash val="solid"/>
                        <a:round/>
                        <a:headEnd type="none" w="med" len="med"/>
                        <a:tailEnd type="none" w="med" len="med"/>
                      </a:ln>
                    </wps:spPr>
                    <wps:bodyPr/>
                  </wps:wsp>
                </a:graphicData>
              </a:graphic>
            </wp:anchor>
          </w:drawing>
        </mc:Choice>
        <mc:Fallback>
          <w:pict>
            <v:line id="4100" o:spid="_x0000_s1026" o:spt="20" style="position:absolute;left:0pt;margin-left:54pt;margin-top:83.25pt;height:0pt;width:487.3pt;mso-position-horizontal-relative:page;mso-position-vertical-relative:page;z-index:-251657216;mso-width-relative:page;mso-height-relative:page;" filled="f" stroked="t" coordsize="21600,21600" o:gfxdata="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AyeD+Q2AAAAAwBAAAPAAAAAAAAAAEA&#10;IAAAACIAAABkcnMvZG93bnJldi54bWxQSwECFAAUAAAACACHTuJAFoURRdYBAADYAwAADgAAAAAA&#10;AAABACAAAAAnAQAAZHJzL2Uyb0RvYy54bWxQSwUGAAAAAAYABgBZAQAAbwUAAAAA&#10;">
              <v:fill on="f" focussize="0,0"/>
              <v:stroke weight="0.48pt" color="#000000" joinstyle="round"/>
              <v:imagedata o:title=""/>
              <o:lock v:ext="edit" aspectratio="f"/>
            </v:line>
          </w:pict>
        </mc:Fallback>
      </mc:AlternateContent>
    </w:r>
    <w:r>
      <w:rPr>
        <w:lang w:val="en-US" w:bidi="ar-SA"/>
      </w:rPr>
      <mc:AlternateContent>
        <mc:Choice Requires="wps">
          <w:drawing>
            <wp:anchor distT="0" distB="0" distL="0" distR="0" simplePos="0" relativeHeight="251659264" behindDoc="1" locked="0" layoutInCell="1" allowOverlap="1">
              <wp:simplePos x="0" y="0"/>
              <wp:positionH relativeFrom="page">
                <wp:posOffset>5608955</wp:posOffset>
              </wp:positionH>
              <wp:positionV relativeFrom="page">
                <wp:posOffset>876300</wp:posOffset>
              </wp:positionV>
              <wp:extent cx="1257300" cy="158115"/>
              <wp:effectExtent l="0" t="0" r="0" b="0"/>
              <wp:wrapNone/>
              <wp:docPr id="4101" name="4101"/>
              <wp:cNvGraphicFramePr/>
              <a:graphic xmlns:a="http://schemas.openxmlformats.org/drawingml/2006/main">
                <a:graphicData uri="http://schemas.microsoft.com/office/word/2010/wordprocessingShape">
                  <wps:wsp>
                    <wps:cNvSpPr/>
                    <wps:spPr>
                      <a:xfrm>
                        <a:off x="0" y="0"/>
                        <a:ext cx="1257300" cy="158114"/>
                      </a:xfrm>
                      <a:prstGeom prst="rect">
                        <a:avLst/>
                      </a:prstGeom>
                      <a:ln>
                        <a:noFill/>
                      </a:ln>
                    </wps:spPr>
                    <wps:txbx>
                      <w:txbxContent>
                        <w:p>
                          <w:pPr>
                            <w:spacing w:line="249" w:lineRule="exact"/>
                            <w:ind w:left="20"/>
                            <w:rPr>
                              <w:sz w:val="21"/>
                              <w:lang w:val="en-US"/>
                            </w:rPr>
                          </w:pPr>
                        </w:p>
                      </w:txbxContent>
                    </wps:txbx>
                    <wps:bodyPr lIns="0" tIns="0" rIns="0" bIns="0" upright="1"/>
                  </wps:wsp>
                </a:graphicData>
              </a:graphic>
            </wp:anchor>
          </w:drawing>
        </mc:Choice>
        <mc:Fallback>
          <w:pict>
            <v:rect id="4101" o:spid="_x0000_s1026" o:spt="1" style="position:absolute;left:0pt;margin-left:441.65pt;margin-top:69pt;height:12.45pt;width:99pt;mso-position-horizontal-relative:page;mso-position-vertical-relative:page;z-index:-251657216;mso-width-relative:page;mso-height-relative:page;" filled="f" stroked="f" coordsize="21600,21600" o:gfxdata="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WdGjtoAAAAMAQAADwAAAAAA&#10;AAABACAAAAAiAAAAZHJzL2Rvd25yZXYueG1sUEsBAhQAFAAAAAgAh07iQHaFTOSfAQAAWQMAAA4A&#10;AAAAAAAAAQAgAAAAKQEAAGRycy9lMm9Eb2MueG1sUEsFBgAAAAAGAAYAWQEAADoFAAAAAA==&#10;">
              <v:fill on="f" focussize="0,0"/>
              <v:stroke on="f"/>
              <v:imagedata o:title=""/>
              <o:lock v:ext="edit" aspectratio="f"/>
              <v:textbox inset="0mm,0mm,0mm,0mm">
                <w:txbxContent>
                  <w:p>
                    <w:pPr>
                      <w:spacing w:line="249" w:lineRule="exact"/>
                      <w:ind w:left="20"/>
                      <w:rPr>
                        <w:sz w:val="21"/>
                        <w:lang w:val="en-US"/>
                      </w:rPr>
                    </w:pPr>
                  </w:p>
                </w:txbxContent>
              </v:textbox>
            </v:rect>
          </w:pict>
        </mc:Fallback>
      </mc:AlternateContent>
    </w:r>
    <w:r>
      <w:rPr>
        <w:sz w:val="18"/>
        <w:lang w:val="en-US" w:bidi="ar-SA"/>
      </w:rPr>
      <w:drawing>
        <wp:anchor distT="0" distB="0" distL="0" distR="0" simplePos="0" relativeHeight="251659264" behindDoc="1" locked="0" layoutInCell="1" allowOverlap="1">
          <wp:simplePos x="0" y="0"/>
          <wp:positionH relativeFrom="margin">
            <wp:align>center</wp:align>
          </wp:positionH>
          <wp:positionV relativeFrom="margin">
            <wp:align>center</wp:align>
          </wp:positionV>
          <wp:extent cx="5274310" cy="3312795"/>
          <wp:effectExtent l="0" t="0" r="2540" b="1905"/>
          <wp:wrapNone/>
          <wp:docPr id="4102" name="WordPictureWatermark26901" descr="微信图片_20201222083446"/>
          <wp:cNvGraphicFramePr/>
          <a:graphic xmlns:a="http://schemas.openxmlformats.org/drawingml/2006/main">
            <a:graphicData uri="http://schemas.openxmlformats.org/drawingml/2006/picture">
              <pic:pic xmlns:pic="http://schemas.openxmlformats.org/drawingml/2006/picture">
                <pic:nvPicPr>
                  <pic:cNvPr id="4102" name="WordPictureWatermark26901" descr="微信图片_20201222083446"/>
                  <pic:cNvPicPr/>
                </pic:nvPicPr>
                <pic:blipFill>
                  <a:blip r:embed="rId2" cstate="print">
                    <a:lum bright="68000" contrast="-70000"/>
                  </a:blip>
                  <a:srcRect/>
                  <a:stretch>
                    <a:fillRect/>
                  </a:stretch>
                </pic:blipFill>
                <pic:spPr>
                  <a:xfrm>
                    <a:off x="0" y="0"/>
                    <a:ext cx="5274310" cy="3312795"/>
                  </a:xfrm>
                  <a:prstGeom prst="rect">
                    <a:avLst/>
                  </a:prstGeom>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dit="readOnly" w:formatting="1"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D052B"/>
    <w:rsid w:val="00D63B49"/>
    <w:rsid w:val="017E2AC6"/>
    <w:rsid w:val="085077F8"/>
    <w:rsid w:val="090441F6"/>
    <w:rsid w:val="0B047F2B"/>
    <w:rsid w:val="0C566AF5"/>
    <w:rsid w:val="12A904AC"/>
    <w:rsid w:val="1A7A5DFE"/>
    <w:rsid w:val="1CF44777"/>
    <w:rsid w:val="211719B7"/>
    <w:rsid w:val="25457FB6"/>
    <w:rsid w:val="2643619C"/>
    <w:rsid w:val="2A99001C"/>
    <w:rsid w:val="2AA74C3F"/>
    <w:rsid w:val="2AF75C97"/>
    <w:rsid w:val="2C9875B8"/>
    <w:rsid w:val="2E6D6B17"/>
    <w:rsid w:val="300A6F60"/>
    <w:rsid w:val="34CE60D4"/>
    <w:rsid w:val="3953355D"/>
    <w:rsid w:val="3C475128"/>
    <w:rsid w:val="3F8C4EBF"/>
    <w:rsid w:val="46080375"/>
    <w:rsid w:val="49B41DE5"/>
    <w:rsid w:val="4A1A079F"/>
    <w:rsid w:val="4B4D5699"/>
    <w:rsid w:val="50774392"/>
    <w:rsid w:val="50835C26"/>
    <w:rsid w:val="54B41FCA"/>
    <w:rsid w:val="562A69DB"/>
    <w:rsid w:val="5633208C"/>
    <w:rsid w:val="59642873"/>
    <w:rsid w:val="5B99774E"/>
    <w:rsid w:val="5B9E336B"/>
    <w:rsid w:val="5C691A11"/>
    <w:rsid w:val="5FA244F5"/>
    <w:rsid w:val="60C32043"/>
    <w:rsid w:val="617242E4"/>
    <w:rsid w:val="61E27248"/>
    <w:rsid w:val="658F54DF"/>
    <w:rsid w:val="6E217268"/>
    <w:rsid w:val="6FFB1846"/>
    <w:rsid w:val="721B2BEF"/>
    <w:rsid w:val="72E41F92"/>
    <w:rsid w:val="732D5E85"/>
    <w:rsid w:val="75EB150C"/>
    <w:rsid w:val="76C05D62"/>
    <w:rsid w:val="773A1EC1"/>
    <w:rsid w:val="77815E20"/>
    <w:rsid w:val="778A0CAD"/>
    <w:rsid w:val="7B667D04"/>
    <w:rsid w:val="7D2519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0"/>
    <w:pPr>
      <w:spacing w:beforeAutospacing="1" w:afterAutospacing="1"/>
      <w:outlineLvl w:val="0"/>
    </w:pPr>
    <w:rPr>
      <w:rFonts w:hint="eastAsia" w:ascii="宋体" w:hAnsi="宋体" w:eastAsia="宋体" w:cs="Times New Roman"/>
      <w:b/>
      <w:bCs/>
      <w:kern w:val="44"/>
      <w:sz w:val="48"/>
      <w:szCs w:val="48"/>
      <w:lang w:val="en-US"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character" w:default="1" w:styleId="18">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4">
    <w:name w:val="Normal Indent"/>
    <w:basedOn w:val="1"/>
    <w:qFormat/>
    <w:uiPriority w:val="0"/>
    <w:pPr>
      <w:ind w:firstLine="420" w:firstLineChars="200"/>
    </w:pPr>
  </w:style>
  <w:style w:type="paragraph" w:styleId="5">
    <w:name w:val="annotation text"/>
    <w:basedOn w:val="1"/>
    <w:qFormat/>
    <w:uiPriority w:val="0"/>
  </w:style>
  <w:style w:type="paragraph" w:styleId="6">
    <w:name w:val="Body Text"/>
    <w:basedOn w:val="1"/>
    <w:qFormat/>
    <w:uiPriority w:val="1"/>
    <w:rPr>
      <w:sz w:val="28"/>
      <w:szCs w:val="28"/>
    </w:rPr>
  </w:style>
  <w:style w:type="paragraph" w:styleId="7">
    <w:name w:val="Body Text Indent"/>
    <w:basedOn w:val="1"/>
    <w:next w:val="8"/>
    <w:qFormat/>
    <w:uiPriority w:val="0"/>
    <w:pPr>
      <w:spacing w:line="360" w:lineRule="exact"/>
      <w:ind w:left="280" w:firstLine="560" w:firstLineChars="200"/>
    </w:pPr>
    <w:rPr>
      <w:rFonts w:ascii="仿宋_GB2312" w:eastAsia="仿宋_GB2312"/>
      <w:sz w:val="28"/>
      <w:szCs w:val="32"/>
    </w:rPr>
  </w:style>
  <w:style w:type="paragraph" w:styleId="8">
    <w:name w:val="envelope return"/>
    <w:basedOn w:val="1"/>
    <w:qFormat/>
    <w:uiPriority w:val="0"/>
    <w:pPr>
      <w:snapToGrid w:val="0"/>
    </w:pPr>
    <w:rPr>
      <w:rFonts w:ascii="Arial" w:hAnsi="Arial" w:cs="Arial"/>
    </w:rPr>
  </w:style>
  <w:style w:type="paragraph" w:styleId="9">
    <w:name w:val="Balloon Text"/>
    <w:basedOn w:val="1"/>
    <w:link w:val="33"/>
    <w:qFormat/>
    <w:uiPriority w:val="0"/>
    <w:rPr>
      <w:sz w:val="18"/>
      <w:szCs w:val="18"/>
    </w:rPr>
  </w:style>
  <w:style w:type="paragraph" w:styleId="10">
    <w:name w:val="footer"/>
    <w:basedOn w:val="1"/>
    <w:qFormat/>
    <w:uiPriority w:val="0"/>
    <w:pPr>
      <w:tabs>
        <w:tab w:val="center" w:pos="4153"/>
        <w:tab w:val="right" w:pos="8306"/>
      </w:tabs>
      <w:snapToGrid w:val="0"/>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Normal (Web)"/>
    <w:basedOn w:val="1"/>
    <w:qFormat/>
    <w:uiPriority w:val="99"/>
    <w:pPr>
      <w:widowControl/>
      <w:spacing w:before="100" w:beforeAutospacing="1" w:after="100" w:afterAutospacing="1"/>
    </w:pPr>
    <w:rPr>
      <w:rFonts w:ascii="宋体" w:hAnsi="宋体" w:eastAsia="宋体" w:cs="宋体"/>
      <w:sz w:val="24"/>
      <w:szCs w:val="24"/>
    </w:rPr>
  </w:style>
  <w:style w:type="paragraph" w:styleId="13">
    <w:name w:val="Body Text First Indent"/>
    <w:basedOn w:val="6"/>
    <w:next w:val="14"/>
    <w:qFormat/>
    <w:uiPriority w:val="99"/>
    <w:pPr>
      <w:ind w:firstLine="420" w:firstLineChars="100"/>
    </w:pPr>
  </w:style>
  <w:style w:type="paragraph" w:customStyle="1" w:styleId="14">
    <w:name w:val="段落正文"/>
    <w:basedOn w:val="1"/>
    <w:qFormat/>
    <w:uiPriority w:val="99"/>
    <w:pPr>
      <w:spacing w:beforeLines="50" w:line="360" w:lineRule="auto"/>
      <w:ind w:firstLine="200" w:firstLineChars="200"/>
    </w:pPr>
    <w:rPr>
      <w:rFonts w:ascii="Times New Roman" w:hAnsi="Times New Roman"/>
      <w:spacing w:val="2"/>
      <w:sz w:val="24"/>
      <w:szCs w:val="20"/>
    </w:rPr>
  </w:style>
  <w:style w:type="paragraph" w:styleId="15">
    <w:name w:val="Body Text First Indent 2"/>
    <w:basedOn w:val="7"/>
    <w:qFormat/>
    <w:uiPriority w:val="0"/>
    <w:pPr>
      <w:spacing w:after="120"/>
      <w:ind w:left="420" w:leftChars="200" w:firstLine="420"/>
    </w:pPr>
    <w:rPr>
      <w:rFonts w:ascii="Calibri" w:hAnsi="Calibri"/>
      <w:szCs w:val="22"/>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annotation reference"/>
    <w:basedOn w:val="18"/>
    <w:qFormat/>
    <w:uiPriority w:val="0"/>
    <w:rPr>
      <w:sz w:val="21"/>
      <w:szCs w:val="21"/>
    </w:rPr>
  </w:style>
  <w:style w:type="paragraph" w:customStyle="1" w:styleId="20">
    <w:name w:val="标题 5（有编号）（绿盟科技）"/>
    <w:basedOn w:val="1"/>
    <w:next w:val="21"/>
    <w:qFormat/>
    <w:uiPriority w:val="0"/>
    <w:pPr>
      <w:keepNext/>
      <w:keepLines/>
      <w:numPr>
        <w:ilvl w:val="4"/>
        <w:numId w:val="1"/>
      </w:numPr>
      <w:tabs>
        <w:tab w:val="left" w:pos="0"/>
      </w:tabs>
      <w:spacing w:before="280" w:after="156" w:line="377" w:lineRule="auto"/>
      <w:outlineLvl w:val="4"/>
    </w:pPr>
    <w:rPr>
      <w:rFonts w:ascii="Arial" w:hAnsi="Arial" w:eastAsia="黑体"/>
      <w:b/>
      <w:szCs w:val="28"/>
    </w:rPr>
  </w:style>
  <w:style w:type="paragraph" w:customStyle="1" w:styleId="2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2">
    <w:name w:val="_Style 3"/>
    <w:qFormat/>
    <w:uiPriority w:val="0"/>
    <w:pPr>
      <w:widowControl w:val="0"/>
      <w:jc w:val="both"/>
    </w:pPr>
    <w:rPr>
      <w:rFonts w:ascii="Calibri" w:hAnsi="Calibri" w:eastAsia="宋体" w:cs="黑体"/>
      <w:kern w:val="2"/>
      <w:sz w:val="21"/>
      <w:szCs w:val="22"/>
      <w:lang w:val="en-US" w:eastAsia="zh-CN" w:bidi="ar-SA"/>
    </w:rPr>
  </w:style>
  <w:style w:type="paragraph" w:customStyle="1" w:styleId="23">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table" w:customStyle="1" w:styleId="24">
    <w:name w:val="Table Normal"/>
    <w:qFormat/>
    <w:uiPriority w:val="2"/>
    <w:tblPr>
      <w:tblCellMar>
        <w:top w:w="0" w:type="dxa"/>
        <w:left w:w="0" w:type="dxa"/>
        <w:bottom w:w="0" w:type="dxa"/>
        <w:right w:w="0" w:type="dxa"/>
      </w:tblCellMar>
    </w:tblPr>
  </w:style>
  <w:style w:type="paragraph" w:customStyle="1" w:styleId="25">
    <w:name w:val="列出段落1"/>
    <w:basedOn w:val="1"/>
    <w:qFormat/>
    <w:uiPriority w:val="1"/>
    <w:pPr>
      <w:ind w:left="1481" w:hanging="703"/>
    </w:pPr>
  </w:style>
  <w:style w:type="paragraph" w:customStyle="1" w:styleId="26">
    <w:name w:val="Table Paragraph"/>
    <w:basedOn w:val="1"/>
    <w:qFormat/>
    <w:uiPriority w:val="1"/>
    <w:pPr>
      <w:spacing w:before="132"/>
      <w:ind w:left="107"/>
    </w:pPr>
  </w:style>
  <w:style w:type="paragraph" w:customStyle="1" w:styleId="27">
    <w:name w:val="_正文段落"/>
    <w:basedOn w:val="1"/>
    <w:qFormat/>
    <w:uiPriority w:val="0"/>
    <w:pPr>
      <w:spacing w:line="360" w:lineRule="auto"/>
    </w:pPr>
    <w:rPr>
      <w:rFonts w:eastAsia="仿宋_GB2312"/>
      <w:sz w:val="28"/>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Body Text1"/>
    <w:basedOn w:val="1"/>
    <w:qFormat/>
    <w:uiPriority w:val="0"/>
    <w:pPr>
      <w:spacing w:after="120"/>
    </w:pPr>
  </w:style>
  <w:style w:type="paragraph" w:customStyle="1" w:styleId="30">
    <w:name w:val="表格"/>
    <w:basedOn w:val="1"/>
    <w:qFormat/>
    <w:uiPriority w:val="0"/>
    <w:pPr>
      <w:spacing w:line="400" w:lineRule="exact"/>
    </w:pPr>
    <w:rPr>
      <w:sz w:val="24"/>
    </w:rPr>
  </w:style>
  <w:style w:type="character" w:customStyle="1" w:styleId="31">
    <w:name w:val="NormalCharacter"/>
    <w:qFormat/>
    <w:uiPriority w:val="0"/>
    <w:rPr>
      <w:rFonts w:ascii="仿宋" w:hAnsi="仿宋" w:eastAsia="仿宋" w:cs="仿宋"/>
      <w:sz w:val="22"/>
      <w:szCs w:val="22"/>
      <w:lang w:val="zh-CN" w:eastAsia="zh-CN" w:bidi="zh-CN"/>
    </w:rPr>
  </w:style>
  <w:style w:type="paragraph" w:customStyle="1" w:styleId="32">
    <w:name w:val="引用2"/>
    <w:basedOn w:val="1"/>
    <w:next w:val="1"/>
    <w:qFormat/>
    <w:uiPriority w:val="0"/>
    <w:pPr>
      <w:tabs>
        <w:tab w:val="left" w:pos="0"/>
      </w:tabs>
      <w:wordWrap w:val="0"/>
      <w:spacing w:before="200" w:after="160"/>
      <w:ind w:left="864" w:right="864"/>
      <w:jc w:val="center"/>
    </w:pPr>
    <w:rPr>
      <w:rFonts w:ascii="Times New Roman" w:hAnsi="Times New Roman" w:eastAsia="宋体" w:cs="Times New Roman"/>
      <w:i/>
    </w:rPr>
  </w:style>
  <w:style w:type="character" w:customStyle="1" w:styleId="33">
    <w:name w:val="批注框文本 Char"/>
    <w:basedOn w:val="18"/>
    <w:link w:val="9"/>
    <w:qFormat/>
    <w:uiPriority w:val="0"/>
    <w:rPr>
      <w:rFonts w:ascii="仿宋" w:hAnsi="仿宋" w:eastAsia="仿宋" w:cs="仿宋"/>
      <w:sz w:val="18"/>
      <w:szCs w:val="18"/>
      <w:lang w:val="zh-CN" w:bidi="zh-CN"/>
    </w:rPr>
  </w:style>
  <w:style w:type="paragraph" w:styleId="34">
    <w:name w:val="List Paragraph"/>
    <w:basedOn w:val="1"/>
    <w:qFormat/>
    <w:uiPriority w:val="0"/>
    <w:pPr>
      <w:ind w:firstLine="420" w:firstLineChars="200"/>
    </w:pPr>
  </w:style>
  <w:style w:type="paragraph" w:customStyle="1" w:styleId="35">
    <w:name w:val="null3"/>
    <w:qFormat/>
    <w:uiPriority w:val="0"/>
    <w:rPr>
      <w:rFonts w:hint="eastAsia" w:ascii="Calibri" w:hAnsi="Calibri" w:eastAsia="宋体" w:cs="宋体"/>
      <w:lang w:val="en-US"/>
    </w:rPr>
  </w:style>
  <w:style w:type="paragraph" w:customStyle="1" w:styleId="36">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character" w:customStyle="1" w:styleId="37">
    <w:name w:val="font21"/>
    <w:basedOn w:val="18"/>
    <w:qFormat/>
    <w:uiPriority w:val="0"/>
    <w:rPr>
      <w:rFonts w:hint="eastAsia" w:ascii="仿宋" w:hAnsi="仿宋" w:eastAsia="仿宋" w:cs="仿宋"/>
      <w:b/>
      <w:bCs/>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Micorosoft</Company>
  <Pages>12</Pages>
  <Words>4817</Words>
  <Characters>5047</Characters>
  <Paragraphs>386</Paragraphs>
  <TotalTime>3</TotalTime>
  <ScaleCrop>false</ScaleCrop>
  <LinksUpToDate>false</LinksUpToDate>
  <CharactersWithSpaces>5492</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2025-08-19T10:34:00Z</dcterms:created>
  <dc:creator>后勤中心</dc:creator>
  <cp:lastModifiedBy>苏仁杰</cp:lastModifiedBy>
  <cp:lastPrinted>2023-07-19T07:20:00Z</cp:lastPrinted>
  <dcterms:modified xsi:type="dcterms:W3CDTF">2025-11-28T08:00:14Z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2020-11-24T00:00:00Z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2052-11.8.6.11719</vt:lpwstr>
  </property>
  <property fmtid="{D5CDD505-2E9C-101B-9397-08002B2CF9AE}" pid="6" name="ICV">
    <vt:lpwstr>8A68B391E9D34DFF98A022CEDA6F73CC</vt:lpwstr>
  </property>
  <property fmtid="{D5CDD505-2E9C-101B-9397-08002B2CF9AE}" pid="7" name="KSOTemplateDocerSaveRecord">
    <vt:lpwstr>eyJoZGlkIjoiYmNjZGY5YmE5NmVkZWI4ZmMzYjExYWQ5OWZlMTVkODUiLCJ1c2VySWQiOiI2MjM0MTg1MDQifQ==</vt:lpwstr>
  </property>
</Properties>
</file>