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696" w:type="dxa"/>
          </w:tcPr>
          <w:p>
            <w:pPr>
              <w:jc w:val="center"/>
              <w:rPr>
                <w:rFonts w:ascii="仿宋" w:hAnsi="仿宋" w:eastAsia="仿宋"/>
                <w:b/>
                <w:sz w:val="32"/>
                <w:szCs w:val="32"/>
              </w:rPr>
            </w:pPr>
            <w:r>
              <w:rPr>
                <w:rFonts w:hint="eastAsia" w:ascii="仿宋" w:hAnsi="仿宋" w:eastAsia="仿宋"/>
                <w:b/>
                <w:sz w:val="32"/>
                <w:szCs w:val="32"/>
              </w:rPr>
              <w:t>服务类型</w:t>
            </w:r>
          </w:p>
        </w:tc>
        <w:tc>
          <w:tcPr>
            <w:tcW w:w="6603" w:type="dxa"/>
          </w:tcPr>
          <w:p>
            <w:pPr>
              <w:jc w:val="center"/>
              <w:rPr>
                <w:rFonts w:hint="default" w:ascii="仿宋" w:hAnsi="仿宋" w:eastAsia="仿宋"/>
                <w:b/>
                <w:sz w:val="32"/>
                <w:szCs w:val="32"/>
                <w:lang w:val="en-US" w:eastAsia="zh-CN"/>
              </w:rPr>
            </w:pPr>
            <w:r>
              <w:rPr>
                <w:rFonts w:hint="eastAsia" w:ascii="仿宋" w:hAnsi="仿宋" w:eastAsia="仿宋"/>
                <w:b/>
                <w:sz w:val="32"/>
                <w:szCs w:val="32"/>
              </w:rPr>
              <w:t>服务内容</w:t>
            </w:r>
            <w:r>
              <w:rPr>
                <w:rFonts w:hint="eastAsia" w:ascii="仿宋" w:hAnsi="仿宋" w:eastAsia="仿宋"/>
                <w:b/>
                <w:sz w:val="32"/>
                <w:szCs w:val="32"/>
                <w:lang w:val="en-US" w:eastAsia="zh-CN"/>
              </w:rPr>
              <w:t>与需求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6" w:type="dxa"/>
            <w:vAlign w:val="center"/>
          </w:tcPr>
          <w:p>
            <w:pPr>
              <w:jc w:val="center"/>
              <w:rPr>
                <w:rFonts w:hint="eastAsia" w:ascii="仿宋" w:hAnsi="仿宋" w:eastAsia="仿宋"/>
                <w:sz w:val="28"/>
                <w:szCs w:val="28"/>
              </w:rPr>
            </w:pPr>
            <w:r>
              <w:rPr>
                <w:rFonts w:hint="eastAsia" w:ascii="仿宋" w:hAnsi="仿宋" w:eastAsia="仿宋"/>
                <w:sz w:val="28"/>
                <w:szCs w:val="28"/>
              </w:rPr>
              <w:t>互联互通服务</w:t>
            </w:r>
          </w:p>
        </w:tc>
        <w:tc>
          <w:tcPr>
            <w:tcW w:w="6603" w:type="dxa"/>
          </w:tcPr>
          <w:p>
            <w:pPr>
              <w:jc w:val="left"/>
              <w:rPr>
                <w:rFonts w:hint="eastAsia" w:ascii="仿宋" w:hAnsi="仿宋" w:eastAsia="仿宋"/>
                <w:sz w:val="24"/>
                <w:szCs w:val="28"/>
              </w:rPr>
            </w:pPr>
            <w:r>
              <w:rPr>
                <w:rFonts w:ascii="仿宋" w:hAnsi="仿宋" w:eastAsia="仿宋"/>
                <w:sz w:val="24"/>
                <w:szCs w:val="28"/>
              </w:rPr>
              <w:t>1.</w:t>
            </w:r>
            <w:r>
              <w:rPr>
                <w:rFonts w:hint="eastAsia" w:ascii="仿宋" w:hAnsi="仿宋" w:eastAsia="仿宋"/>
                <w:sz w:val="24"/>
                <w:szCs w:val="28"/>
              </w:rPr>
              <w:t>实现基层试点机构与自贡市第四人民医院数据互联互通。采集基层医疗和公共卫生数据转发至医院</w:t>
            </w:r>
            <w:r>
              <w:rPr>
                <w:rFonts w:ascii="仿宋" w:hAnsi="仿宋" w:eastAsia="仿宋"/>
                <w:sz w:val="24"/>
                <w:szCs w:val="28"/>
              </w:rPr>
              <w:t>HIS和城市医疗集团慢病管理系统</w:t>
            </w:r>
            <w:r>
              <w:rPr>
                <w:rFonts w:hint="eastAsia" w:ascii="仿宋" w:hAnsi="仿宋" w:eastAsia="仿宋"/>
                <w:sz w:val="24"/>
                <w:szCs w:val="28"/>
              </w:rPr>
              <w:t>；采集医院</w:t>
            </w:r>
            <w:r>
              <w:rPr>
                <w:rFonts w:ascii="仿宋" w:hAnsi="仿宋" w:eastAsia="仿宋"/>
                <w:sz w:val="24"/>
                <w:szCs w:val="28"/>
              </w:rPr>
              <w:t>HIS数据转发至基层慢病管理系统。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2696" w:type="dxa"/>
            <w:vAlign w:val="center"/>
          </w:tcPr>
          <w:p>
            <w:pPr>
              <w:jc w:val="center"/>
              <w:rPr>
                <w:rFonts w:hint="eastAsia" w:ascii="仿宋" w:hAnsi="仿宋" w:eastAsia="仿宋"/>
                <w:sz w:val="32"/>
                <w:szCs w:val="32"/>
              </w:rPr>
            </w:pPr>
            <w:r>
              <w:rPr>
                <w:rFonts w:hint="eastAsia" w:ascii="仿宋" w:hAnsi="仿宋" w:eastAsia="仿宋"/>
                <w:sz w:val="28"/>
                <w:szCs w:val="32"/>
              </w:rPr>
              <w:t>业务咨询服务</w:t>
            </w:r>
          </w:p>
        </w:tc>
        <w:tc>
          <w:tcPr>
            <w:tcW w:w="6603" w:type="dxa"/>
          </w:tcPr>
          <w:p>
            <w:pPr>
              <w:jc w:val="left"/>
              <w:rPr>
                <w:rFonts w:ascii="仿宋" w:hAnsi="仿宋" w:eastAsia="仿宋"/>
                <w:sz w:val="24"/>
                <w:szCs w:val="32"/>
              </w:rPr>
            </w:pPr>
            <w:r>
              <w:rPr>
                <w:rFonts w:hint="eastAsia" w:ascii="仿宋" w:hAnsi="仿宋" w:eastAsia="仿宋"/>
                <w:sz w:val="24"/>
                <w:szCs w:val="32"/>
              </w:rPr>
              <w:t>1</w:t>
            </w:r>
            <w:r>
              <w:rPr>
                <w:rFonts w:ascii="仿宋" w:hAnsi="仿宋" w:eastAsia="仿宋"/>
                <w:sz w:val="24"/>
                <w:szCs w:val="32"/>
              </w:rPr>
              <w:t>.</w:t>
            </w:r>
            <w:r>
              <w:rPr>
                <w:rFonts w:hint="eastAsia" w:ascii="仿宋" w:hAnsi="仿宋" w:eastAsia="仿宋"/>
                <w:sz w:val="24"/>
                <w:szCs w:val="32"/>
              </w:rPr>
              <w:t>完成两病（高血压、糖尿病）服务标准、质控标准、双转标准设计方案。参考国内外先进经验，研究国内相关实践及国家相关指南规范，结合对卫生院、区县医院、市级医院的现场调研及研讨，结合实际设计以下可操作的两病服务标准、质控标准、双转标准，以及配套的信息化要求。（1）两病全病程管理路径标准：覆盖高血压、糖尿病两个病种的健康促进</w:t>
            </w:r>
            <w:r>
              <w:rPr>
                <w:rFonts w:ascii="仿宋" w:hAnsi="仿宋" w:eastAsia="仿宋"/>
                <w:sz w:val="24"/>
                <w:szCs w:val="32"/>
              </w:rPr>
              <w:t>-筛查-诊断-治疗-管理全流程协同管理路径</w:t>
            </w:r>
            <w:r>
              <w:rPr>
                <w:rFonts w:hint="eastAsia" w:ascii="仿宋" w:hAnsi="仿宋" w:eastAsia="仿宋"/>
                <w:sz w:val="24"/>
                <w:szCs w:val="32"/>
              </w:rPr>
              <w:t>；（2）慢病管理质量控制标准：参考国内外先进的慢病管理质量评价与控制体系，结合询证医学、群医学设计城市医疗集团高血压、糖尿病管理质量评价与控制标准，支持按医疗机构级别、服务团队进行细分；（3）双向转诊业务标准：设计城市医疗集团高血压、糖尿病双向转诊临床指标触发标准和信息化业务流程与数据交换标准。</w:t>
            </w:r>
          </w:p>
          <w:p>
            <w:pPr>
              <w:jc w:val="left"/>
              <w:rPr>
                <w:rFonts w:hint="eastAsia" w:ascii="仿宋" w:hAnsi="仿宋" w:eastAsia="仿宋"/>
                <w:sz w:val="24"/>
                <w:szCs w:val="32"/>
              </w:rPr>
            </w:pPr>
            <w:r>
              <w:rPr>
                <w:rFonts w:hint="eastAsia" w:ascii="仿宋" w:hAnsi="仿宋" w:eastAsia="仿宋"/>
                <w:sz w:val="24"/>
                <w:szCs w:val="32"/>
                <w:lang w:val="en-US" w:eastAsia="zh-CN"/>
              </w:rPr>
              <w:t>2</w:t>
            </w:r>
            <w:r>
              <w:rPr>
                <w:rFonts w:ascii="仿宋" w:hAnsi="仿宋" w:eastAsia="仿宋"/>
                <w:sz w:val="24"/>
                <w:szCs w:val="32"/>
              </w:rPr>
              <w:t>.</w:t>
            </w:r>
            <w:r>
              <w:rPr>
                <w:rFonts w:hint="eastAsia" w:ascii="仿宋" w:hAnsi="仿宋" w:eastAsia="仿宋"/>
                <w:sz w:val="24"/>
                <w:szCs w:val="32"/>
              </w:rPr>
              <w:t>制定两病（高血压、糖尿病）医防融合服务转型推广支持能力构建方案。设计两病医防融合服务转型推广体系，覆盖意识唤醒、可及性建设、临床能力提升、沟通支持、组群管理、协同服务、患者满意度等多维度的师资培养、</w:t>
            </w:r>
            <w:r>
              <w:rPr>
                <w:rFonts w:ascii="仿宋" w:hAnsi="仿宋" w:eastAsia="仿宋"/>
                <w:sz w:val="24"/>
                <w:szCs w:val="32"/>
              </w:rPr>
              <w:t>PDCA循环转型推广规划，分享相关经验并设计大规模推广所需的团队支撑框架。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696" w:type="dxa"/>
            <w:vAlign w:val="center"/>
          </w:tcPr>
          <w:p>
            <w:pPr>
              <w:jc w:val="center"/>
              <w:rPr>
                <w:rFonts w:hint="eastAsia" w:ascii="仿宋" w:hAnsi="仿宋" w:eastAsia="仿宋"/>
                <w:sz w:val="32"/>
                <w:szCs w:val="32"/>
              </w:rPr>
            </w:pPr>
            <w:r>
              <w:rPr>
                <w:rFonts w:hint="eastAsia" w:ascii="仿宋" w:hAnsi="仿宋" w:eastAsia="仿宋"/>
                <w:sz w:val="28"/>
                <w:szCs w:val="32"/>
              </w:rPr>
              <w:t>培训辅导服务</w:t>
            </w:r>
          </w:p>
        </w:tc>
        <w:tc>
          <w:tcPr>
            <w:tcW w:w="6603" w:type="dxa"/>
          </w:tcPr>
          <w:p>
            <w:pPr>
              <w:jc w:val="left"/>
              <w:rPr>
                <w:rFonts w:hint="eastAsia" w:ascii="仿宋" w:hAnsi="仿宋" w:eastAsia="仿宋"/>
                <w:sz w:val="24"/>
                <w:szCs w:val="32"/>
              </w:rPr>
            </w:pPr>
            <w:r>
              <w:rPr>
                <w:rFonts w:hint="eastAsia" w:ascii="仿宋" w:hAnsi="仿宋" w:eastAsia="仿宋"/>
                <w:sz w:val="24"/>
                <w:szCs w:val="32"/>
              </w:rPr>
              <w:t>1</w:t>
            </w:r>
            <w:r>
              <w:rPr>
                <w:rFonts w:ascii="仿宋" w:hAnsi="仿宋" w:eastAsia="仿宋"/>
                <w:sz w:val="24"/>
                <w:szCs w:val="32"/>
              </w:rPr>
              <w:t>.</w:t>
            </w:r>
            <w:r>
              <w:rPr>
                <w:rFonts w:hint="eastAsia" w:ascii="仿宋" w:hAnsi="仿宋" w:eastAsia="仿宋"/>
                <w:sz w:val="24"/>
                <w:szCs w:val="32"/>
              </w:rPr>
              <w:t>开展两病专全协同服务培训辅导，提供的培训辅导课程不少于</w:t>
            </w:r>
            <w:r>
              <w:rPr>
                <w:rFonts w:ascii="仿宋" w:hAnsi="仿宋" w:eastAsia="仿宋"/>
                <w:sz w:val="24"/>
                <w:szCs w:val="32"/>
              </w:rPr>
              <w:t>5个课时</w:t>
            </w:r>
            <w:r>
              <w:rPr>
                <w:rFonts w:hint="eastAsia" w:ascii="仿宋" w:hAnsi="仿宋" w:eastAsia="仿宋"/>
                <w:sz w:val="24"/>
                <w:szCs w:val="32"/>
              </w:rPr>
              <w:t>，</w:t>
            </w:r>
            <w:r>
              <w:rPr>
                <w:rFonts w:ascii="仿宋" w:hAnsi="仿宋" w:eastAsia="仿宋"/>
                <w:sz w:val="24"/>
                <w:szCs w:val="32"/>
              </w:rPr>
              <w:t>每个课时1.5-2小时</w:t>
            </w:r>
            <w:r>
              <w:rPr>
                <w:rFonts w:hint="eastAsia" w:ascii="仿宋" w:hAnsi="仿宋" w:eastAsia="仿宋"/>
                <w:sz w:val="24"/>
                <w:szCs w:val="32"/>
              </w:rPr>
              <w:t>。针对医院内分泌科、心内科专科医生开展与基层医疗机构的全科医生进行远程指导、风险评估、并发症筛查、用药指导、远程会诊、双向转诊、联合签约、质量控制等慢病协同业务的培训辅导。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2696" w:type="dxa"/>
            <w:vAlign w:val="center"/>
          </w:tcPr>
          <w:p>
            <w:pPr>
              <w:jc w:val="center"/>
              <w:rPr>
                <w:rFonts w:hint="eastAsia" w:ascii="仿宋" w:hAnsi="仿宋" w:eastAsia="仿宋"/>
                <w:sz w:val="28"/>
                <w:szCs w:val="32"/>
              </w:rPr>
            </w:pPr>
            <w:r>
              <w:rPr>
                <w:rFonts w:hint="eastAsia" w:ascii="仿宋" w:hAnsi="仿宋" w:eastAsia="仿宋"/>
                <w:sz w:val="28"/>
                <w:szCs w:val="32"/>
              </w:rPr>
              <w:t>信息化支撑服务</w:t>
            </w:r>
          </w:p>
        </w:tc>
        <w:tc>
          <w:tcPr>
            <w:tcW w:w="6603" w:type="dxa"/>
          </w:tcPr>
          <w:p>
            <w:pPr>
              <w:jc w:val="left"/>
              <w:rPr>
                <w:rFonts w:ascii="仿宋" w:hAnsi="仿宋" w:eastAsia="仿宋"/>
                <w:sz w:val="24"/>
                <w:szCs w:val="24"/>
              </w:rPr>
            </w:pPr>
            <w:r>
              <w:rPr>
                <w:rFonts w:hint="eastAsia" w:ascii="仿宋" w:hAnsi="仿宋" w:eastAsia="仿宋"/>
                <w:sz w:val="24"/>
                <w:szCs w:val="24"/>
              </w:rPr>
              <w:t>1.提供试点机构医防融合慢病管理服务开展所需的信息化支撑服务。包括：签约注册、人群服务、人群定义、人群筛查、人群管理、个性化健康管理、目标管理等。</w:t>
            </w:r>
          </w:p>
          <w:p>
            <w:pPr>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提供自贡市第四人民医院区域慢病管理转全协同服务开展所需的信息化支撑服务。包括：联合签约、人群分类、人群管理、双向转诊等。</w:t>
            </w:r>
          </w:p>
        </w:tc>
      </w:tr>
    </w:tbl>
    <w:p>
      <w:pPr>
        <w:jc w:val="center"/>
        <w:rPr>
          <w:rFonts w:hint="default" w:ascii="仿宋_GB2312" w:hAnsi="仿宋_GB2312" w:eastAsia="仿宋_GB2312" w:cs="仿宋_GB2312"/>
          <w:sz w:val="32"/>
          <w:szCs w:val="32"/>
          <w:lang w:val="en-US" w:eastAsia="zh-CN"/>
        </w:rPr>
      </w:pPr>
      <w:bookmarkStart w:id="0" w:name="_GoBack"/>
      <w:bookmarkEnd w:id="0"/>
    </w:p>
    <w:p>
      <w:pPr>
        <w:jc w:val="left"/>
        <w:rPr>
          <w:rFonts w:hint="eastAsia" w:eastAsia="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ODc5MWUzNTQ4NWQxMDYxMmMyZTVhYTlhMjdhZjUifQ=="/>
  </w:docVars>
  <w:rsids>
    <w:rsidRoot w:val="10C75449"/>
    <w:rsid w:val="10C75449"/>
    <w:rsid w:val="18E802CD"/>
    <w:rsid w:val="2F351F3C"/>
    <w:rsid w:val="55CE3BD7"/>
    <w:rsid w:val="5CE75E8F"/>
    <w:rsid w:val="6271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1131</Words>
  <Characters>1153</Characters>
  <Lines>0</Lines>
  <Paragraphs>0</Paragraphs>
  <TotalTime>10</TotalTime>
  <ScaleCrop>false</ScaleCrop>
  <LinksUpToDate>false</LinksUpToDate>
  <CharactersWithSpaces>1153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2024-06-06T00:39:00Z</dcterms:created>
  <dc:creator>Administrator</dc:creator>
  <cp:lastModifiedBy>LJ_</cp:lastModifiedBy>
  <cp:lastPrinted>2024-06-07T07:07:00Z</cp:lastPrinted>
  <dcterms:modified xsi:type="dcterms:W3CDTF">2024-06-11T00:55:20Z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9C88D551D2E344DCADF035FC5B574F5B_13</vt:lpwstr>
  </property>
</Properties>
</file>